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CD0CB" w14:textId="45F5F7B2" w:rsidR="00B0515E" w:rsidRDefault="00200FA9">
      <w:pPr>
        <w:widowControl w:val="0"/>
        <w:pBdr>
          <w:top w:val="nil"/>
          <w:left w:val="nil"/>
          <w:bottom w:val="nil"/>
          <w:right w:val="nil"/>
          <w:between w:val="nil"/>
        </w:pBdr>
        <w:tabs>
          <w:tab w:val="right" w:pos="9781"/>
          <w:tab w:val="right" w:pos="13323"/>
        </w:tabs>
        <w:spacing w:before="60" w:after="60" w:line="240" w:lineRule="auto"/>
        <w:rPr>
          <w:rFonts w:ascii="Arial" w:eastAsia="Arial" w:hAnsi="Arial" w:cs="Arial"/>
          <w:color w:val="000000"/>
          <w:sz w:val="24"/>
          <w:szCs w:val="24"/>
        </w:rPr>
      </w:pPr>
      <w:r>
        <w:rPr>
          <w:rFonts w:ascii="Arial" w:eastAsia="Arial" w:hAnsi="Arial" w:cs="Arial"/>
          <w:b/>
          <w:color w:val="000000"/>
          <w:sz w:val="24"/>
          <w:szCs w:val="24"/>
        </w:rPr>
        <w:t>3GPP TSG-RAN WG4 Meeting #114</w:t>
      </w:r>
      <w:r>
        <w:rPr>
          <w:rFonts w:ascii="Arial" w:eastAsia="Arial" w:hAnsi="Arial" w:cs="Arial"/>
          <w:b/>
          <w:color w:val="000000"/>
          <w:sz w:val="24"/>
          <w:szCs w:val="24"/>
        </w:rPr>
        <w:tab/>
        <w:t>R4-25</w:t>
      </w:r>
      <w:r w:rsidR="00EE1F9A">
        <w:rPr>
          <w:rFonts w:ascii="Arial" w:eastAsia="Arial" w:hAnsi="Arial" w:cs="Arial"/>
          <w:b/>
          <w:color w:val="000000"/>
          <w:sz w:val="24"/>
          <w:szCs w:val="24"/>
        </w:rPr>
        <w:t>004</w:t>
      </w:r>
      <w:r w:rsidR="006807F2">
        <w:rPr>
          <w:rFonts w:ascii="Arial" w:eastAsia="Arial" w:hAnsi="Arial" w:cs="Arial"/>
          <w:b/>
          <w:color w:val="000000"/>
          <w:sz w:val="24"/>
          <w:szCs w:val="24"/>
        </w:rPr>
        <w:t>30</w:t>
      </w:r>
    </w:p>
    <w:p w14:paraId="1772C734" w14:textId="77777777" w:rsidR="00B0515E" w:rsidRDefault="00200FA9">
      <w:pPr>
        <w:pBdr>
          <w:top w:val="nil"/>
          <w:left w:val="nil"/>
          <w:bottom w:val="nil"/>
          <w:right w:val="nil"/>
          <w:between w:val="nil"/>
        </w:pBdr>
        <w:tabs>
          <w:tab w:val="left" w:pos="2268"/>
          <w:tab w:val="right" w:pos="7920"/>
          <w:tab w:val="right" w:pos="9639"/>
        </w:tabs>
        <w:spacing w:after="0" w:line="240" w:lineRule="auto"/>
        <w:rPr>
          <w:rFonts w:ascii="Arial" w:eastAsia="Arial" w:hAnsi="Arial" w:cs="Arial"/>
          <w:b/>
          <w:color w:val="000000"/>
          <w:sz w:val="24"/>
          <w:szCs w:val="24"/>
        </w:rPr>
      </w:pPr>
      <w:r>
        <w:rPr>
          <w:rFonts w:ascii="Arial" w:eastAsia="Arial" w:hAnsi="Arial" w:cs="Arial"/>
          <w:b/>
          <w:color w:val="000000"/>
          <w:sz w:val="24"/>
          <w:szCs w:val="24"/>
        </w:rPr>
        <w:t>Athens, Greece, 17</w:t>
      </w:r>
      <w:r>
        <w:rPr>
          <w:rFonts w:ascii="Arial" w:eastAsia="Arial" w:hAnsi="Arial" w:cs="Arial"/>
          <w:b/>
          <w:color w:val="000000"/>
          <w:sz w:val="24"/>
          <w:szCs w:val="24"/>
          <w:vertAlign w:val="superscript"/>
        </w:rPr>
        <w:t>th</w:t>
      </w:r>
      <w:r>
        <w:rPr>
          <w:rFonts w:ascii="Arial" w:eastAsia="Arial" w:hAnsi="Arial" w:cs="Arial"/>
          <w:b/>
          <w:color w:val="000000"/>
          <w:sz w:val="24"/>
          <w:szCs w:val="24"/>
        </w:rPr>
        <w:t xml:space="preserve"> – 21</w:t>
      </w:r>
      <w:r>
        <w:rPr>
          <w:rFonts w:ascii="Arial" w:eastAsia="Arial" w:hAnsi="Arial" w:cs="Arial"/>
          <w:b/>
          <w:color w:val="000000"/>
          <w:sz w:val="24"/>
          <w:szCs w:val="24"/>
          <w:vertAlign w:val="superscript"/>
        </w:rPr>
        <w:t>st</w:t>
      </w:r>
      <w:r>
        <w:rPr>
          <w:rFonts w:ascii="Arial" w:eastAsia="Arial" w:hAnsi="Arial" w:cs="Arial"/>
          <w:b/>
          <w:color w:val="000000"/>
          <w:sz w:val="24"/>
          <w:szCs w:val="24"/>
        </w:rPr>
        <w:t xml:space="preserve"> February, 2025</w:t>
      </w:r>
    </w:p>
    <w:p w14:paraId="2950C5FF" w14:textId="77777777" w:rsidR="00B0515E" w:rsidRDefault="00200FA9">
      <w:pPr>
        <w:pBdr>
          <w:top w:val="nil"/>
          <w:left w:val="nil"/>
          <w:bottom w:val="nil"/>
          <w:right w:val="nil"/>
          <w:between w:val="nil"/>
        </w:pBdr>
        <w:spacing w:after="120" w:line="240" w:lineRule="auto"/>
        <w:rPr>
          <w:rFonts w:ascii="Arial" w:eastAsia="Arial" w:hAnsi="Arial" w:cs="Arial"/>
          <w:b/>
          <w:color w:val="000000"/>
          <w:sz w:val="20"/>
          <w:szCs w:val="20"/>
        </w:rPr>
      </w:pPr>
      <w:r>
        <w:rPr>
          <w:rFonts w:ascii="Arial" w:eastAsia="Arial" w:hAnsi="Arial" w:cs="Arial"/>
          <w:color w:val="000000"/>
          <w:sz w:val="24"/>
          <w:szCs w:val="24"/>
        </w:rPr>
        <w:tab/>
      </w:r>
      <w:r>
        <w:rPr>
          <w:rFonts w:ascii="Arial" w:eastAsia="Arial" w:hAnsi="Arial" w:cs="Arial"/>
          <w:color w:val="000000"/>
          <w:sz w:val="24"/>
          <w:szCs w:val="24"/>
        </w:rPr>
        <w:tab/>
      </w:r>
    </w:p>
    <w:p w14:paraId="1AC892A4" w14:textId="77777777" w:rsidR="00B0515E" w:rsidRDefault="00200FA9">
      <w:r>
        <w:rPr>
          <w:b/>
        </w:rPr>
        <w:t>Source:</w:t>
      </w:r>
      <w:r>
        <w:rPr>
          <w:b/>
        </w:rPr>
        <w:tab/>
      </w:r>
      <w:r>
        <w:rPr>
          <w:b/>
        </w:rPr>
        <w:tab/>
      </w:r>
      <w:r>
        <w:rPr>
          <w:b/>
        </w:rPr>
        <w:tab/>
      </w:r>
      <w:r>
        <w:t>Verizon, T-Mobile USA, and AT&amp;T</w:t>
      </w:r>
    </w:p>
    <w:p w14:paraId="1BAE709A" w14:textId="77777777" w:rsidR="00B0515E" w:rsidRDefault="00200FA9">
      <w:r>
        <w:rPr>
          <w:b/>
        </w:rPr>
        <w:t>Title:</w:t>
      </w:r>
      <w:r>
        <w:tab/>
      </w:r>
      <w:r>
        <w:tab/>
      </w:r>
      <w:r>
        <w:tab/>
        <w:t>On NTN S-Band UE Coexistence Requirement</w:t>
      </w:r>
    </w:p>
    <w:p w14:paraId="0E228151" w14:textId="77777777" w:rsidR="00B0515E" w:rsidRDefault="00200FA9">
      <w:r>
        <w:rPr>
          <w:b/>
        </w:rPr>
        <w:t>Agenda item:</w:t>
      </w:r>
      <w:r>
        <w:tab/>
      </w:r>
      <w:r>
        <w:tab/>
        <w:t>6.18.2</w:t>
      </w:r>
    </w:p>
    <w:p w14:paraId="5CC7AAD5" w14:textId="77777777" w:rsidR="00B0515E" w:rsidRDefault="00200FA9">
      <w:r>
        <w:rPr>
          <w:b/>
        </w:rPr>
        <w:t>Document for:</w:t>
      </w:r>
      <w:r>
        <w:rPr>
          <w:b/>
        </w:rPr>
        <w:tab/>
      </w:r>
      <w:r>
        <w:rPr>
          <w:b/>
        </w:rPr>
        <w:tab/>
      </w:r>
      <w:r>
        <w:t>Discussion</w:t>
      </w:r>
    </w:p>
    <w:p w14:paraId="72F1A63C" w14:textId="77777777" w:rsidR="00B0515E" w:rsidRDefault="00200FA9">
      <w:pPr>
        <w:pStyle w:val="Heading1"/>
        <w:numPr>
          <w:ilvl w:val="0"/>
          <w:numId w:val="1"/>
        </w:numPr>
      </w:pPr>
      <w:bookmarkStart w:id="0" w:name="_heading=h.gjdgxs" w:colFirst="0" w:colLast="0"/>
      <w:bookmarkEnd w:id="0"/>
      <w:r>
        <w:t>Introduction</w:t>
      </w:r>
    </w:p>
    <w:p w14:paraId="3B834B7A" w14:textId="77777777" w:rsidR="00B0515E" w:rsidRDefault="00200FA9">
      <w:pPr>
        <w:shd w:val="clear" w:color="auto" w:fill="FFFFFF"/>
      </w:pPr>
      <w:r>
        <w:t xml:space="preserve">In RAN4#114, a way forward [1] was recorded on open issues related to UE-to-UE coexistence between the new NTN S-band and TN bands n2 and 25. This contribution discusses our views on how to proceed in development of the specification. </w:t>
      </w:r>
    </w:p>
    <w:p w14:paraId="36F34E94" w14:textId="77777777" w:rsidR="00B0515E" w:rsidRDefault="00200FA9">
      <w:pPr>
        <w:pStyle w:val="Heading1"/>
        <w:numPr>
          <w:ilvl w:val="0"/>
          <w:numId w:val="1"/>
        </w:numPr>
        <w:shd w:val="clear" w:color="auto" w:fill="FFFFFF"/>
      </w:pPr>
      <w:r>
        <w:t xml:space="preserve">Discussion </w:t>
      </w:r>
    </w:p>
    <w:p w14:paraId="2F1A53A4" w14:textId="77777777" w:rsidR="00B0515E" w:rsidRDefault="00200FA9">
      <w:pPr>
        <w:pStyle w:val="Heading2"/>
        <w:numPr>
          <w:ilvl w:val="1"/>
          <w:numId w:val="1"/>
        </w:numPr>
      </w:pPr>
      <w:r>
        <w:t>UE coexistence analysis</w:t>
      </w:r>
    </w:p>
    <w:p w14:paraId="2007862F" w14:textId="77777777" w:rsidR="00B0515E" w:rsidRDefault="00200FA9">
      <w:pPr>
        <w:keepNext/>
      </w:pPr>
      <w:r>
        <w:t>Analysis on noise rise is often used to assess the impact of interference in a network. The following is an analysis of NTN UE UL to TN UE DL with -50 dBm/MHz and -40 dBm/MHz emissions in the TN DL frequency range at 1-meter and 5-meter UE-to-UE separation respectively.</w:t>
      </w:r>
    </w:p>
    <w:p w14:paraId="5BB3771D" w14:textId="77777777" w:rsidR="00B0515E" w:rsidRDefault="00200FA9">
      <w:pPr>
        <w:keepNext/>
        <w:jc w:val="center"/>
      </w:pPr>
      <w:r>
        <w:rPr>
          <w:noProof/>
        </w:rPr>
        <w:drawing>
          <wp:inline distT="0" distB="0" distL="0" distR="0" wp14:anchorId="7A053263" wp14:editId="346AF41B">
            <wp:extent cx="3281287" cy="2486715"/>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3281287" cy="2486715"/>
                    </a:xfrm>
                    <a:prstGeom prst="rect">
                      <a:avLst/>
                    </a:prstGeom>
                    <a:ln/>
                  </pic:spPr>
                </pic:pic>
              </a:graphicData>
            </a:graphic>
          </wp:inline>
        </w:drawing>
      </w:r>
    </w:p>
    <w:p w14:paraId="0EED7CAA" w14:textId="77777777" w:rsidR="00B0515E" w:rsidRDefault="00200FA9">
      <w:pPr>
        <w:keepNext/>
        <w:rPr>
          <w:b/>
        </w:rPr>
      </w:pPr>
      <w:r>
        <w:rPr>
          <w:b/>
        </w:rPr>
        <w:t>Observation 1: At 1m UE separation, with -50dBm/MHz interference, resulted noise rise is 5.8 dB</w:t>
      </w:r>
    </w:p>
    <w:p w14:paraId="47D4332A" w14:textId="77777777" w:rsidR="00B0515E" w:rsidRDefault="00200FA9">
      <w:pPr>
        <w:keepNext/>
      </w:pPr>
      <w:bookmarkStart w:id="1" w:name="_heading=h.30j0zll" w:colFirst="0" w:colLast="0"/>
      <w:bookmarkEnd w:id="1"/>
      <w:r>
        <w:t xml:space="preserve">5-6 dB is the typical log normal shadowing margin in </w:t>
      </w:r>
      <w:proofErr w:type="spellStart"/>
      <w:r>
        <w:t>linkbudget</w:t>
      </w:r>
      <w:proofErr w:type="spellEnd"/>
      <w:r>
        <w:t xml:space="preserve"> design in rural morphology. Such degradation would reduce the coverage reliability of the TN network to ~50%. </w:t>
      </w:r>
      <w:proofErr w:type="spellStart"/>
      <w:r>
        <w:t>Linkbudget</w:t>
      </w:r>
      <w:proofErr w:type="spellEnd"/>
      <w:r>
        <w:t xml:space="preserve"> for a service with symmetrical UL/DL data rate such as voice is often limited by the UL, DL </w:t>
      </w:r>
      <w:proofErr w:type="spellStart"/>
      <w:r>
        <w:t>linkbudget</w:t>
      </w:r>
      <w:proofErr w:type="spellEnd"/>
      <w:r>
        <w:t xml:space="preserve"> could be slightly better. On the other </w:t>
      </w:r>
      <w:r>
        <w:lastRenderedPageBreak/>
        <w:t xml:space="preserve">hand, for asymmetrical UL/DL data applications, there will be no difference in </w:t>
      </w:r>
      <w:proofErr w:type="spellStart"/>
      <w:r>
        <w:t>linkbudget</w:t>
      </w:r>
      <w:proofErr w:type="spellEnd"/>
      <w:r>
        <w:t xml:space="preserve"> margin between UL and DL. Degradation in the DL will translate into throughput reduction if when the connection is available.</w:t>
      </w:r>
    </w:p>
    <w:p w14:paraId="32BBAEF2" w14:textId="77777777" w:rsidR="00B0515E" w:rsidRDefault="00200FA9">
      <w:pPr>
        <w:keepNext/>
        <w:rPr>
          <w:b/>
        </w:rPr>
      </w:pPr>
      <w:r>
        <w:rPr>
          <w:b/>
        </w:rPr>
        <w:t>Observation 2: At 5m UE separation, with -40dBm/MHz interference, resulted noise rise is 3.3 dB</w:t>
      </w:r>
    </w:p>
    <w:p w14:paraId="653347D6" w14:textId="77777777" w:rsidR="00B0515E" w:rsidRDefault="00200FA9">
      <w:r>
        <w:t xml:space="preserve">Such degradation would result in a degraded yet still available service. It is not hard to imagine a group of hikers using TN and NTN technologies for communications within 5m proximity in remote trails or camps despite the low area density of such users. </w:t>
      </w:r>
    </w:p>
    <w:p w14:paraId="7B57D958" w14:textId="77777777" w:rsidR="00B0515E" w:rsidRDefault="00200FA9">
      <w:pPr>
        <w:rPr>
          <w:b/>
        </w:rPr>
      </w:pPr>
      <w:r>
        <w:rPr>
          <w:b/>
        </w:rPr>
        <w:t>Observation 3: With -30dBm/MHz interference, i.e., 20 dB further degradation over the baseline of -50dBm/MHz, TN Services will be disrupted / blocked when a nearby NTN UE transmits. This would not constitute a fair arrangement for the incumbent TN services.</w:t>
      </w:r>
    </w:p>
    <w:p w14:paraId="743A07CA" w14:textId="77777777" w:rsidR="00B0515E" w:rsidRDefault="00200FA9">
      <w:pPr>
        <w:rPr>
          <w:b/>
        </w:rPr>
      </w:pPr>
      <w:r>
        <w:rPr>
          <w:b/>
        </w:rPr>
        <w:t>Proposal 1: Recommend RAN4 to always allow A-MPR regardless of NS signalling based on -30dBm/MHz emissions requirement for UE coexistence requirement to protect the incumbent TN services in n2/n25.</w:t>
      </w:r>
    </w:p>
    <w:p w14:paraId="7149D647" w14:textId="77777777" w:rsidR="00B0515E" w:rsidRDefault="00200FA9">
      <w:pPr>
        <w:pStyle w:val="Heading2"/>
        <w:numPr>
          <w:ilvl w:val="1"/>
          <w:numId w:val="1"/>
        </w:numPr>
      </w:pPr>
      <w:r>
        <w:t>FCC’s consistent -40 dBm/MHz limit to protect incumbent TN Services in B2 and B25</w:t>
      </w:r>
    </w:p>
    <w:p w14:paraId="38AE5269" w14:textId="77777777" w:rsidR="00B0515E" w:rsidRDefault="00200FA9">
      <w:r>
        <w:t>FCC has long established a consistent emissions requirement for UE UL transmission in the 2000-2020 MHz frequency range to protect incumbent TN Services in B2 and B25.</w:t>
      </w:r>
    </w:p>
    <w:p w14:paraId="129C6049" w14:textId="77777777" w:rsidR="00B0515E" w:rsidRDefault="00200FA9">
      <w:pPr>
        <w:rPr>
          <w:b/>
        </w:rPr>
      </w:pPr>
      <w:r>
        <w:rPr>
          <w:b/>
        </w:rPr>
        <w:t>Observation 4: The -40 dBm/MHz requirement for 1990-1995 MHz in NS_11 for B23 in 36.101 was based on FCC requirement in Part 27 (§ 27.53). The corresponding -50dBm/MHz requirement for B2 was based on RAN4 analysis by key stakeholders. It is feasible to provide 10-dB better protection to n2 than that for the 1990-1995 MHz range of n25.</w:t>
      </w:r>
    </w:p>
    <w:p w14:paraId="142697B4" w14:textId="77777777" w:rsidR="00B0515E" w:rsidRDefault="00200FA9">
      <w:pPr>
        <w:rPr>
          <w:b/>
        </w:rPr>
      </w:pPr>
      <w:r>
        <w:rPr>
          <w:b/>
        </w:rPr>
        <w:t>Observation 5: The FCC conditional waiver DA 13-2409 related to the 2000-2020 MHz range was for B70 when 2000-2020 MHz is used for down link operation. Now that n252 uses 2000-2020 MHz for uplink similar to B23, the spirit of the waiver is not applicable.</w:t>
      </w:r>
    </w:p>
    <w:p w14:paraId="27969D4C" w14:textId="77777777" w:rsidR="00B0515E" w:rsidRDefault="00200FA9">
      <w:pPr>
        <w:rPr>
          <w:b/>
        </w:rPr>
      </w:pPr>
      <w:r>
        <w:rPr>
          <w:b/>
        </w:rPr>
        <w:t>Observation 6: In FCC 03-15 report and order section 119 on MSS ATC handset in 2 GHz, to protect the same TN services, the emissions requirement for below 1995 MHz was also -40dBm/</w:t>
      </w:r>
      <w:proofErr w:type="spellStart"/>
      <w:r>
        <w:rPr>
          <w:b/>
        </w:rPr>
        <w:t>MHz.</w:t>
      </w:r>
      <w:proofErr w:type="spellEnd"/>
    </w:p>
    <w:p w14:paraId="581D3C55" w14:textId="77777777" w:rsidR="00B0515E" w:rsidRDefault="00200FA9">
      <w:pPr>
        <w:rPr>
          <w:b/>
        </w:rPr>
      </w:pPr>
      <w:r>
        <w:rPr>
          <w:b/>
        </w:rPr>
        <w:t>Observation 7: Although the same emissions requirement seems absent for MSS in Part 25, the TN Services that FCC intended to protect has stayed the same. It would be technically prudent to adopt -40dBm/MHz as the baseline assuming n252 will be commercially successful and widely used.</w:t>
      </w:r>
    </w:p>
    <w:p w14:paraId="74A06CE8" w14:textId="77777777" w:rsidR="00B0515E" w:rsidRDefault="00200FA9">
      <w:pPr>
        <w:pStyle w:val="Heading2"/>
        <w:numPr>
          <w:ilvl w:val="1"/>
          <w:numId w:val="1"/>
        </w:numPr>
      </w:pPr>
      <w:r>
        <w:t>Roaming agreement with TN networks may limit the use of NTN near TN network Edge</w:t>
      </w:r>
    </w:p>
    <w:p w14:paraId="497EECED" w14:textId="77777777" w:rsidR="00B0515E" w:rsidRDefault="00200FA9">
      <w:pPr>
        <w:rPr>
          <w:b/>
        </w:rPr>
      </w:pPr>
      <w:r>
        <w:rPr>
          <w:b/>
        </w:rPr>
        <w:t xml:space="preserve">Observation 8: While roaming arrangement with TN operators may alleviate the interference to some degree for a partner TN, there will still be RF coverage ping-pong issues, and it will not help other TN operators not having roaming agreements in that area. Roaming agreement is a transient business arrangement subject to change therefore should not be used as a basis for technical requirements designed to manage coexistence. </w:t>
      </w:r>
    </w:p>
    <w:p w14:paraId="255428A0" w14:textId="77777777" w:rsidR="00B0515E" w:rsidRDefault="00200FA9">
      <w:pPr>
        <w:pStyle w:val="Heading2"/>
        <w:numPr>
          <w:ilvl w:val="1"/>
          <w:numId w:val="1"/>
        </w:numPr>
      </w:pPr>
      <w:r>
        <w:t>Proposed relaxation to -30 dBm/MHz is based on the precedence of n106 with 3 MHz channel bandwidth</w:t>
      </w:r>
    </w:p>
    <w:p w14:paraId="28A74483" w14:textId="77777777" w:rsidR="00B0515E" w:rsidRDefault="00200FA9">
      <w:pPr>
        <w:rPr>
          <w:b/>
        </w:rPr>
      </w:pPr>
      <w:r>
        <w:rPr>
          <w:b/>
        </w:rPr>
        <w:t xml:space="preserve">Observation 9: In the case of band n106 coexistence with n5/n26, the emissions requirement was relaxed to -30dBm/MHz however only 3 MHz channel bandwidth was available and the channel raster (NR-ARFCN) </w:t>
      </w:r>
      <w:r>
        <w:rPr>
          <w:b/>
        </w:rPr>
        <w:lastRenderedPageBreak/>
        <w:t>for such signal is restricted to limited position. With a narrow channel bandwidth, the extent of emissions to adjacent spectrum is much reduced and manageable by the victim system.</w:t>
      </w:r>
    </w:p>
    <w:p w14:paraId="33FC2CE2" w14:textId="77777777" w:rsidR="00B0515E" w:rsidRDefault="00200FA9">
      <w:r>
        <w:rPr>
          <w:b/>
        </w:rPr>
        <w:t xml:space="preserve">Observation 10: RAN4 analysis has shown with 5MHz </w:t>
      </w:r>
      <w:proofErr w:type="spellStart"/>
      <w:r>
        <w:rPr>
          <w:b/>
        </w:rPr>
        <w:t>ChBW</w:t>
      </w:r>
      <w:proofErr w:type="spellEnd"/>
      <w:r>
        <w:rPr>
          <w:b/>
        </w:rPr>
        <w:t xml:space="preserve"> the required A-MPR will be minimal for a given protection level for TN. Limiting NTN max </w:t>
      </w:r>
      <w:proofErr w:type="spellStart"/>
      <w:r>
        <w:rPr>
          <w:b/>
        </w:rPr>
        <w:t>ChBW</w:t>
      </w:r>
      <w:proofErr w:type="spellEnd"/>
      <w:r>
        <w:rPr>
          <w:b/>
        </w:rPr>
        <w:t xml:space="preserve"> to 5 MHz would also have been a viable alternative to address n2/n25 TN operator concerns. However currently the proposed NTN channel bandwidths are 5, 10, and [15] </w:t>
      </w:r>
      <w:proofErr w:type="spellStart"/>
      <w:r>
        <w:rPr>
          <w:b/>
        </w:rPr>
        <w:t>MHz.</w:t>
      </w:r>
      <w:proofErr w:type="spellEnd"/>
    </w:p>
    <w:p w14:paraId="6C52A507" w14:textId="77777777" w:rsidR="00B0515E" w:rsidRDefault="00200FA9">
      <w:pPr>
        <w:pStyle w:val="Heading2"/>
        <w:numPr>
          <w:ilvl w:val="1"/>
          <w:numId w:val="1"/>
        </w:numPr>
      </w:pPr>
      <w:r>
        <w:t xml:space="preserve">Emissions requirement is only challenging to meet in a few scenarios of RB lengths and locations with max power </w:t>
      </w:r>
    </w:p>
    <w:p w14:paraId="3991EFF6" w14:textId="2A5A74EE" w:rsidR="00B0515E" w:rsidRDefault="00200FA9">
      <w:r>
        <w:t>We have learned from offline discussion</w:t>
      </w:r>
      <w:r w:rsidR="00310D9F">
        <w:t>s</w:t>
      </w:r>
      <w:r>
        <w:t xml:space="preserve"> with multiple RF Front End suppliers that tighter emissions requirements are only challenging to meet in a few scenarios of RB lengths and locations with max power. It is better to introduce ways to accommodate the exceptions rather than relax the general emissions requirement.</w:t>
      </w:r>
    </w:p>
    <w:p w14:paraId="2EAF71EE" w14:textId="77777777" w:rsidR="00B0515E" w:rsidRDefault="00200FA9">
      <w:pPr>
        <w:rPr>
          <w:b/>
        </w:rPr>
      </w:pPr>
      <w:r>
        <w:rPr>
          <w:b/>
        </w:rPr>
        <w:t>Observation 11: RAN4 has used exceptions in the past to handle such scenarios. Example exceptions are NOTE 2, 24, 25, 44 under the table "Table 6.5.3.2-1: Requirements for spurious emissions for UE co-existence”.</w:t>
      </w:r>
    </w:p>
    <w:p w14:paraId="1BB28ED4" w14:textId="77777777" w:rsidR="00B0515E" w:rsidRDefault="00200FA9">
      <w:r>
        <w:t>With a limited portion of the spectrum experiencing higher interference levels, TN networks may be able to schedule around interference. It would of course require additional effort by the TN operators.</w:t>
      </w:r>
    </w:p>
    <w:p w14:paraId="2C1E2CEA" w14:textId="77777777" w:rsidR="00B0515E" w:rsidRDefault="00200FA9">
      <w:pPr>
        <w:pStyle w:val="Heading2"/>
        <w:numPr>
          <w:ilvl w:val="1"/>
          <w:numId w:val="1"/>
        </w:numPr>
      </w:pPr>
      <w:r>
        <w:t>Recommended way forward</w:t>
      </w:r>
    </w:p>
    <w:p w14:paraId="1CADD4F1" w14:textId="77777777" w:rsidR="00B0515E" w:rsidRDefault="00200FA9">
      <w:r>
        <w:t>Based on the observations presented above, we would like to propose the following compromised approach to proceed to the specification development.</w:t>
      </w:r>
    </w:p>
    <w:p w14:paraId="53CEE369" w14:textId="77777777" w:rsidR="00B0515E" w:rsidRDefault="00200FA9">
      <w:r>
        <w:rPr>
          <w:b/>
        </w:rPr>
        <w:t>Proposal 1: Recommend RAN4 to always allow A-MPR regardless of NS signalling based on -30dBm/MHz emissions requirement for UE coexistence requirement to protect the incumbent TN services in n2/n25.</w:t>
      </w:r>
    </w:p>
    <w:p w14:paraId="42F72662" w14:textId="77777777" w:rsidR="00B0515E" w:rsidRDefault="00200FA9">
      <w:pPr>
        <w:rPr>
          <w:b/>
        </w:rPr>
      </w:pPr>
      <w:r>
        <w:rPr>
          <w:b/>
        </w:rPr>
        <w:t>Proposal 2: Recommend RAN4 to define NS/A-MPR based on -40dBm/MHz requirement with exceptions for UE coexistence requirement to protect the incumbent TN services in n2/n25.</w:t>
      </w:r>
    </w:p>
    <w:p w14:paraId="1E886561" w14:textId="77777777" w:rsidR="00B0515E" w:rsidRDefault="00200FA9">
      <w:pPr>
        <w:pStyle w:val="Heading1"/>
        <w:numPr>
          <w:ilvl w:val="0"/>
          <w:numId w:val="1"/>
        </w:numPr>
      </w:pPr>
      <w:r>
        <w:t>Conclusion</w:t>
      </w:r>
    </w:p>
    <w:p w14:paraId="71A603AA" w14:textId="77777777" w:rsidR="00B0515E" w:rsidRDefault="00200FA9">
      <w:pPr>
        <w:spacing w:after="120"/>
        <w:jc w:val="both"/>
      </w:pPr>
      <w:r>
        <w:t>In this contribution, we presented our observations and views on the new S-band UE coexistence requirement with TN bands n2 and n25. The following are our key observations and proposal.</w:t>
      </w:r>
    </w:p>
    <w:p w14:paraId="08E79143" w14:textId="77777777" w:rsidR="00B0515E" w:rsidRDefault="00200FA9">
      <w:pPr>
        <w:rPr>
          <w:b/>
        </w:rPr>
      </w:pPr>
      <w:r>
        <w:rPr>
          <w:b/>
        </w:rPr>
        <w:t>Observation 3: With -30dBm/MHz interference, i.e., 20 dB further degradation over the baseline of -50dBm/MHz, TN Services will be disrupted / blocked when a nearby NTN UE transmits. This would not constitute a fair arrangement for the incumbent TN services.</w:t>
      </w:r>
    </w:p>
    <w:p w14:paraId="36BC7E99" w14:textId="77777777" w:rsidR="00B0515E" w:rsidRDefault="00200FA9">
      <w:pPr>
        <w:rPr>
          <w:b/>
        </w:rPr>
      </w:pPr>
      <w:r>
        <w:rPr>
          <w:b/>
        </w:rPr>
        <w:t>Observation 7: Although the same emissions requirement seems absent for MSS in Part 25, the TN Services that FCC intended to protect has stayed the same. It would be technically prudent to adopt -40dBm/MHz as the baseline assuming n252 will be commercially successful and widely used.</w:t>
      </w:r>
    </w:p>
    <w:p w14:paraId="78518374" w14:textId="77777777" w:rsidR="00B0515E" w:rsidRDefault="00200FA9">
      <w:pPr>
        <w:rPr>
          <w:b/>
        </w:rPr>
      </w:pPr>
      <w:r>
        <w:rPr>
          <w:b/>
        </w:rPr>
        <w:t>Proposal 1: Recommend RAN4 to always allow A-MPR regardless of NS signalling based on -30dBm/MHz emissions requirement for UE coexistence requirement to protect the incumbent TN services in n2/n25.</w:t>
      </w:r>
    </w:p>
    <w:p w14:paraId="6A2CEB1B" w14:textId="77777777" w:rsidR="00B0515E" w:rsidRDefault="00200FA9">
      <w:pPr>
        <w:rPr>
          <w:b/>
        </w:rPr>
      </w:pPr>
      <w:r>
        <w:rPr>
          <w:b/>
        </w:rPr>
        <w:t>Proposal 2: Recommend RAN4 to define NS/A-MPR based on -40dBm/MHz requirement with exceptions for UE coexistence requirement to protect the incumbent TN services in n2/n25.</w:t>
      </w:r>
    </w:p>
    <w:p w14:paraId="58444F49" w14:textId="77777777" w:rsidR="00B0515E" w:rsidRDefault="00200FA9">
      <w:pPr>
        <w:pStyle w:val="Heading1"/>
        <w:numPr>
          <w:ilvl w:val="0"/>
          <w:numId w:val="1"/>
        </w:numPr>
      </w:pPr>
      <w:r>
        <w:lastRenderedPageBreak/>
        <w:t>References</w:t>
      </w:r>
    </w:p>
    <w:p w14:paraId="4FA2939D" w14:textId="77777777" w:rsidR="00B0515E" w:rsidRDefault="00200FA9">
      <w:pPr>
        <w:numPr>
          <w:ilvl w:val="0"/>
          <w:numId w:val="2"/>
        </w:numPr>
        <w:spacing w:after="180" w:line="240" w:lineRule="auto"/>
      </w:pPr>
      <w:bookmarkStart w:id="2" w:name="_heading=h.1fob9te" w:colFirst="0" w:colLast="0"/>
      <w:bookmarkEnd w:id="2"/>
      <w:r>
        <w:t>R4-2420465, WF on NTN and IoT-NTN bands, Inmarsat</w:t>
      </w:r>
    </w:p>
    <w:p w14:paraId="2B05BDAF" w14:textId="77777777" w:rsidR="00B0515E" w:rsidRDefault="00200FA9">
      <w:pPr>
        <w:numPr>
          <w:ilvl w:val="0"/>
          <w:numId w:val="2"/>
        </w:numPr>
        <w:spacing w:after="180" w:line="240" w:lineRule="auto"/>
      </w:pPr>
      <w:r>
        <w:t>R4-2418913, New NTN S-band –UE RF requirements, Ericsson</w:t>
      </w:r>
    </w:p>
    <w:p w14:paraId="164ABFA3" w14:textId="77777777" w:rsidR="00B0515E" w:rsidRDefault="00200FA9">
      <w:pPr>
        <w:numPr>
          <w:ilvl w:val="0"/>
          <w:numId w:val="2"/>
        </w:numPr>
        <w:spacing w:after="180" w:line="240" w:lineRule="auto"/>
      </w:pPr>
      <w:r>
        <w:t>FCC Part 27, Miscellaneous Wireless Communications Services</w:t>
      </w:r>
    </w:p>
    <w:p w14:paraId="4CA69A9E" w14:textId="77777777" w:rsidR="00B0515E" w:rsidRDefault="00200FA9">
      <w:pPr>
        <w:numPr>
          <w:ilvl w:val="0"/>
          <w:numId w:val="2"/>
        </w:numPr>
        <w:spacing w:after="180" w:line="240" w:lineRule="auto"/>
      </w:pPr>
      <w:r>
        <w:t>FCC Part 25, Satellite Communications</w:t>
      </w:r>
    </w:p>
    <w:p w14:paraId="2E868766" w14:textId="77777777" w:rsidR="00B0515E" w:rsidRDefault="00200FA9">
      <w:pPr>
        <w:numPr>
          <w:ilvl w:val="0"/>
          <w:numId w:val="2"/>
        </w:numPr>
        <w:spacing w:after="180" w:line="240" w:lineRule="auto"/>
      </w:pPr>
      <w:r>
        <w:t>FCC 03-15, Flexibility for Delivery of Communications by Mobile Satellite Service Providers in the 2 GHz Band, the L-Band, and the 1.6/2.4 GHz Bands;</w:t>
      </w:r>
    </w:p>
    <w:sectPr w:rsidR="00B0515E">
      <w:pgSz w:w="11907" w:h="16840"/>
      <w:pgMar w:top="1134" w:right="1021" w:bottom="1287" w:left="1021" w:header="720" w:footer="578" w:gutter="0"/>
      <w:pgNumType w:start="1"/>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00"/>
    <w:family w:val="roman"/>
    <w:notTrueType/>
    <w:pitch w:val="default"/>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roman"/>
    <w:notTrueType/>
    <w:pitch w:val="default"/>
  </w:font>
  <w:font w:name="Cambria">
    <w:panose1 w:val="02040503050406030204"/>
    <w:charset w:val="00"/>
    <w:family w:val="roman"/>
    <w:notTrueType/>
    <w:pitch w:val="default"/>
  </w:font>
  <w:font w:name="Times">
    <w:panose1 w:val="020206030504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Times-Roman">
    <w:panose1 w:val="00000000000000000000"/>
    <w:charset w:val="00"/>
    <w:family w:val="roman"/>
    <w:notTrueType/>
    <w:pitch w:val="default"/>
  </w:font>
  <w:font w:name="CG Times (WN)">
    <w:panose1 w:val="00000000000000000000"/>
    <w:charset w:val="00"/>
    <w:family w:val="roman"/>
    <w:notTrueType/>
    <w:pitch w:val="default"/>
  </w:font>
  <w:font w:name="Times New Roman Bold">
    <w:panose1 w:val="02020803070505020304"/>
    <w:charset w:val="00"/>
    <w:family w:val="roman"/>
    <w:notTrueType/>
    <w:pitch w:val="default"/>
  </w:font>
  <w:font w:name="Yu Mincho">
    <w:panose1 w:val="00000000000000000000"/>
    <w:charset w:val="00"/>
    <w:family w:val="roman"/>
    <w:notTrueType/>
    <w:pitch w:val="default"/>
  </w:font>
  <w:font w:name="PMingLiU">
    <w:altName w:val="新細明體"/>
    <w:panose1 w:val="02010601000101010101"/>
    <w:charset w:val="88"/>
    <w:family w:val="auto"/>
    <w:pitch w:val="variable"/>
    <w:sig w:usb0="00000001" w:usb1="08080000" w:usb2="00000010" w:usb3="00000000" w:csb0="00100000" w:csb1="00000000"/>
  </w:font>
  <w:font w:name="Georgia">
    <w:panose1 w:val="02040502050405020303"/>
    <w:charset w:val="00"/>
    <w:family w:val="auto"/>
    <w:pitch w:val="default"/>
  </w:font>
  <w:font w:name="DengXian Light">
    <w:altName w:val="等线 Light"/>
    <w:panose1 w:val="00000000000000000000"/>
    <w:charset w:val="86"/>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6380E"/>
    <w:multiLevelType w:val="multilevel"/>
    <w:tmpl w:val="4F34E4AE"/>
    <w:lvl w:ilvl="0">
      <w:start w:val="1"/>
      <w:numFmt w:val="decimal"/>
      <w:pStyle w:val="References"/>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4EB120BD"/>
    <w:multiLevelType w:val="multilevel"/>
    <w:tmpl w:val="5F48B656"/>
    <w:lvl w:ilvl="0">
      <w:start w:val="1"/>
      <w:numFmt w:val="decimal"/>
      <w:pStyle w:val="B1"/>
      <w:lvlText w:val="[%1]"/>
      <w:lvlJc w:val="left"/>
      <w:pPr>
        <w:ind w:left="405" w:hanging="405"/>
      </w:pPr>
    </w:lvl>
    <w:lvl w:ilvl="1">
      <w:start w:val="1"/>
      <w:numFmt w:val="lowerLetter"/>
      <w:lvlText w:val="%2."/>
      <w:lvlJc w:val="left"/>
      <w:pPr>
        <w:ind w:left="873" w:hanging="360"/>
      </w:pPr>
    </w:lvl>
    <w:lvl w:ilvl="2">
      <w:start w:val="1"/>
      <w:numFmt w:val="lowerRoman"/>
      <w:lvlText w:val="%3."/>
      <w:lvlJc w:val="right"/>
      <w:pPr>
        <w:ind w:left="1593" w:hanging="180"/>
      </w:pPr>
    </w:lvl>
    <w:lvl w:ilvl="3">
      <w:start w:val="1"/>
      <w:numFmt w:val="decimal"/>
      <w:lvlText w:val="%4."/>
      <w:lvlJc w:val="left"/>
      <w:pPr>
        <w:ind w:left="2313" w:hanging="360"/>
      </w:pPr>
    </w:lvl>
    <w:lvl w:ilvl="4">
      <w:start w:val="1"/>
      <w:numFmt w:val="lowerLetter"/>
      <w:lvlText w:val="%5."/>
      <w:lvlJc w:val="left"/>
      <w:pPr>
        <w:ind w:left="3033" w:hanging="360"/>
      </w:pPr>
    </w:lvl>
    <w:lvl w:ilvl="5">
      <w:start w:val="1"/>
      <w:numFmt w:val="lowerRoman"/>
      <w:lvlText w:val="%6."/>
      <w:lvlJc w:val="right"/>
      <w:pPr>
        <w:ind w:left="3753" w:hanging="180"/>
      </w:pPr>
    </w:lvl>
    <w:lvl w:ilvl="6">
      <w:start w:val="1"/>
      <w:numFmt w:val="decimal"/>
      <w:lvlText w:val="%7."/>
      <w:lvlJc w:val="left"/>
      <w:pPr>
        <w:ind w:left="4473" w:hanging="360"/>
      </w:pPr>
    </w:lvl>
    <w:lvl w:ilvl="7">
      <w:start w:val="1"/>
      <w:numFmt w:val="lowerLetter"/>
      <w:lvlText w:val="%8."/>
      <w:lvlJc w:val="left"/>
      <w:pPr>
        <w:ind w:left="5193" w:hanging="360"/>
      </w:pPr>
    </w:lvl>
    <w:lvl w:ilvl="8">
      <w:start w:val="1"/>
      <w:numFmt w:val="lowerRoman"/>
      <w:lvlText w:val="%9."/>
      <w:lvlJc w:val="right"/>
      <w:pPr>
        <w:ind w:left="5913" w:hanging="180"/>
      </w:pPr>
    </w:lvl>
  </w:abstractNum>
  <w:abstractNum w:abstractNumId="2" w15:restartNumberingAfterBreak="0">
    <w:nsid w:val="58CA141B"/>
    <w:multiLevelType w:val="multilevel"/>
    <w:tmpl w:val="19426B9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1"/>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515E"/>
    <w:rsid w:val="00200FA9"/>
    <w:rsid w:val="00310D9F"/>
    <w:rsid w:val="006807F2"/>
    <w:rsid w:val="00B0515E"/>
    <w:rsid w:val="00EE1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994FC"/>
  <w15:docId w15:val="{B312795D-B54C-4BC3-9B72-70942B39F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483A"/>
    <w:rPr>
      <w:rFonts w:asciiTheme="minorHAnsi" w:eastAsiaTheme="minorEastAsia" w:hAnsiTheme="minorHAnsi" w:cstheme="minorBidi"/>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uiPriority w:val="9"/>
    <w:qFormat/>
    <w:rsid w:val="007E0DC3"/>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uiPriority w:val="9"/>
    <w:unhideWhenUsed/>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uiPriority w:val="9"/>
    <w:semiHidden/>
    <w:unhideWhenUsed/>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uiPriority w:val="9"/>
    <w:semiHidden/>
    <w:unhideWhenUsed/>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
    <w:semiHidden/>
    <w:unhideWhenUsed/>
    <w:qFormat/>
    <w:rsid w:val="007E0DC3"/>
    <w:pPr>
      <w:numPr>
        <w:ilvl w:val="4"/>
      </w:numPr>
      <w:outlineLvl w:val="4"/>
    </w:pPr>
    <w:rPr>
      <w:sz w:val="22"/>
    </w:rPr>
  </w:style>
  <w:style w:type="paragraph" w:styleId="Heading6">
    <w:name w:val="heading 6"/>
    <w:aliases w:val="T1,Header 6"/>
    <w:basedOn w:val="H6"/>
    <w:next w:val="Normal"/>
    <w:link w:val="Heading6Char"/>
    <w:uiPriority w:val="9"/>
    <w:semiHidden/>
    <w:unhideWhenUsed/>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E0DC3"/>
    <w:pPr>
      <w:widowControl w:val="0"/>
      <w:overflowPunct w:val="0"/>
      <w:autoSpaceDE w:val="0"/>
      <w:autoSpaceDN w:val="0"/>
      <w:adjustRightInd w:val="0"/>
      <w:textAlignment w:val="baseline"/>
    </w:pPr>
    <w:rPr>
      <w:rFonts w:ascii="Arial" w:hAnsi="Arial"/>
      <w:b/>
      <w:noProof/>
      <w:sz w:val="18"/>
      <w:lang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SGS Table Basic 1"/>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
    <w:name w:val="B2"/>
    <w:basedOn w:val="List2"/>
    <w:link w:val="B2Char"/>
    <w:rsid w:val="007E0DC3"/>
    <w:pPr>
      <w:ind w:left="1191" w:hanging="454"/>
    </w:pPr>
  </w:style>
  <w:style w:type="paragraph" w:customStyle="1" w:styleId="B20">
    <w:name w:val="B2+"/>
    <w:basedOn w:val="B2"/>
    <w:rsid w:val="007E0DC3"/>
    <w:pPr>
      <w:tabs>
        <w:tab w:val="num" w:pos="720"/>
      </w:tabs>
      <w:ind w:left="720" w:hanging="720"/>
    </w:pPr>
  </w:style>
  <w:style w:type="paragraph" w:styleId="List3">
    <w:name w:val="List 3"/>
    <w:basedOn w:val="List2"/>
    <w:rsid w:val="007E0DC3"/>
    <w:pPr>
      <w:ind w:left="1135"/>
    </w:pPr>
  </w:style>
  <w:style w:type="paragraph" w:customStyle="1" w:styleId="B3">
    <w:name w:val="B3"/>
    <w:basedOn w:val="List3"/>
    <w:rsid w:val="007E0DC3"/>
    <w:pPr>
      <w:ind w:left="1645" w:hanging="454"/>
    </w:pPr>
  </w:style>
  <w:style w:type="paragraph" w:customStyle="1" w:styleId="B30">
    <w:name w:val="B3+"/>
    <w:basedOn w:val="B3"/>
    <w:uiPriority w:val="99"/>
    <w:rsid w:val="007E0DC3"/>
    <w:pPr>
      <w:tabs>
        <w:tab w:val="num" w:pos="720"/>
        <w:tab w:val="left" w:pos="1134"/>
      </w:tabs>
      <w:ind w:left="720" w:hanging="720"/>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tabs>
        <w:tab w:val="num" w:pos="720"/>
        <w:tab w:val="left" w:pos="851"/>
      </w:tabs>
      <w:ind w:left="720" w:hanging="720"/>
    </w:pPr>
  </w:style>
  <w:style w:type="paragraph" w:customStyle="1" w:styleId="BN">
    <w:name w:val="BN"/>
    <w:basedOn w:val="Normal"/>
    <w:rsid w:val="007E0DC3"/>
    <w:pPr>
      <w:tabs>
        <w:tab w:val="num" w:pos="720"/>
      </w:tabs>
      <w:ind w:left="720" w:hanging="720"/>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lang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tabs>
        <w:tab w:val="num" w:pos="720"/>
      </w:tabs>
      <w:spacing w:after="50" w:line="180" w:lineRule="exact"/>
      <w:ind w:left="720" w:hanging="720"/>
      <w:jc w:val="both"/>
    </w:pPr>
    <w:rPr>
      <w:rFonts w:eastAsia="MS Mincho"/>
      <w:noProof/>
      <w:szCs w:val="16"/>
      <w:lang w:eastAsia="en-US"/>
    </w:rPr>
  </w:style>
  <w:style w:type="paragraph" w:styleId="ListParagraph">
    <w:name w:val="List Paragraph"/>
    <w:aliases w:val="- Bullets,목록 단락,リスト段落,?? ??,?????,????"/>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tabs>
        <w:tab w:val="left" w:pos="0"/>
        <w:tab w:val="num" w:pos="720"/>
      </w:tabs>
      <w:suppressAutoHyphens/>
      <w:spacing w:before="60" w:after="60"/>
      <w:ind w:left="720" w:hanging="720"/>
      <w:jc w:val="both"/>
    </w:pPr>
    <w:rPr>
      <w:rFonts w:ascii="Times New Roman" w:eastAsia="SimSun" w:hAnsi="Times New Roman"/>
    </w:rPr>
  </w:style>
  <w:style w:type="numbering" w:customStyle="1" w:styleId="LFO19">
    <w:name w:val="LFO19"/>
    <w:basedOn w:val="NoList"/>
    <w:rsid w:val="009B6A70"/>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tabs>
        <w:tab w:val="num" w:pos="720"/>
      </w:tabs>
      <w:ind w:left="720" w:hanging="720"/>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tabs>
        <w:tab w:val="left" w:pos="720"/>
      </w:tabs>
      <w:spacing w:after="0"/>
      <w:ind w:left="737" w:hanging="380"/>
    </w:pPr>
    <w:rPr>
      <w:sz w:val="18"/>
      <w:lang w:eastAsia="ko-KR"/>
    </w:rPr>
  </w:style>
  <w:style w:type="paragraph" w:customStyle="1" w:styleId="TB2">
    <w:name w:val="TB2"/>
    <w:basedOn w:val="Normal"/>
    <w:qFormat/>
    <w:rsid w:val="009B6A70"/>
    <w:pPr>
      <w:keepNext/>
      <w:keepLines/>
      <w:tabs>
        <w:tab w:val="num" w:pos="720"/>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tabs>
        <w:tab w:val="num" w:pos="720"/>
      </w:tabs>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0"/>
      </w:numPr>
      <w:pBdr>
        <w:top w:val="none" w:sz="0" w:space="0" w:color="auto"/>
      </w:pBdr>
      <w:tabs>
        <w:tab w:val="num" w:pos="720"/>
      </w:tabs>
      <w:overflowPunct/>
      <w:autoSpaceDE/>
      <w:autoSpaceDN/>
      <w:adjustRightInd/>
      <w:spacing w:before="400" w:after="240"/>
      <w:ind w:left="720" w:hanging="72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tabs>
        <w:tab w:val="num" w:pos="1440"/>
      </w:tabs>
      <w:spacing w:before="480" w:after="240"/>
      <w:ind w:left="1440" w:hanging="720"/>
    </w:pPr>
    <w:rPr>
      <w:b/>
      <w:caps/>
      <w:szCs w:val="24"/>
    </w:rPr>
  </w:style>
  <w:style w:type="paragraph" w:customStyle="1" w:styleId="ECCAnnexheading3">
    <w:name w:val="ECC Annex heading3"/>
    <w:basedOn w:val="Normal"/>
    <w:next w:val="Normal"/>
    <w:rsid w:val="00A8391A"/>
    <w:pPr>
      <w:tabs>
        <w:tab w:val="num" w:pos="2160"/>
      </w:tabs>
      <w:spacing w:before="360" w:after="120"/>
      <w:ind w:left="2160" w:hanging="720"/>
    </w:pPr>
    <w:rPr>
      <w:b/>
      <w:szCs w:val="24"/>
    </w:rPr>
  </w:style>
  <w:style w:type="paragraph" w:customStyle="1" w:styleId="ECCAnnexheading4">
    <w:name w:val="ECC Annex heading4"/>
    <w:basedOn w:val="Normal"/>
    <w:next w:val="Normal"/>
    <w:rsid w:val="00A8391A"/>
    <w:pPr>
      <w:tabs>
        <w:tab w:val="num" w:pos="2880"/>
      </w:tabs>
      <w:spacing w:before="360" w:after="120"/>
      <w:ind w:left="2880" w:hanging="7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0">
    <w:name w:val="標準"/>
    <w:rsid w:val="0015539A"/>
    <w:pPr>
      <w:pBdr>
        <w:top w:val="nil"/>
        <w:left w:val="nil"/>
        <w:bottom w:val="nil"/>
        <w:right w:val="nil"/>
        <w:between w:val="nil"/>
        <w:bar w:val="nil"/>
      </w:pBdr>
      <w:spacing w:after="180"/>
    </w:pPr>
    <w:rPr>
      <w:color w:val="000000"/>
      <w:u w:color="000000"/>
      <w:bdr w:val="nil"/>
    </w:rPr>
  </w:style>
  <w:style w:type="numbering" w:customStyle="1" w:styleId="10">
    <w:name w:val="読み込んだスタイル1"/>
    <w:rsid w:val="002319DB"/>
  </w:style>
  <w:style w:type="paragraph" w:customStyle="1" w:styleId="ZchnZchn">
    <w:name w:val="Zchn Zchn"/>
    <w:semiHidden/>
    <w:qFormat/>
    <w:rsid w:val="00A27340"/>
    <w:pPr>
      <w:keepNext/>
      <w:tabs>
        <w:tab w:val="num" w:pos="720"/>
      </w:tabs>
      <w:autoSpaceDE w:val="0"/>
      <w:autoSpaceDN w:val="0"/>
      <w:adjustRightInd w:val="0"/>
      <w:spacing w:before="60" w:after="60"/>
      <w:ind w:left="720" w:hanging="720"/>
      <w:jc w:val="both"/>
    </w:pPr>
    <w:rPr>
      <w:rFonts w:ascii="Arial" w:eastAsia="SimSun" w:hAnsi="Arial" w:cs="Arial"/>
      <w:color w:val="0000FF"/>
      <w:kern w:val="2"/>
    </w:rPr>
  </w:style>
  <w:style w:type="character" w:styleId="UnresolvedMention">
    <w:name w:val="Unresolved Mention"/>
    <w:uiPriority w:val="99"/>
    <w:semiHidden/>
    <w:unhideWhenUsed/>
    <w:rsid w:val="00C02D22"/>
    <w:rPr>
      <w:color w:val="605E5C"/>
      <w:shd w:val="clear" w:color="auto" w:fill="E1DFDD"/>
    </w:rPr>
  </w:style>
  <w:style w:type="table" w:customStyle="1" w:styleId="11">
    <w:name w:val="网格型1"/>
    <w:basedOn w:val="TableNormal"/>
    <w:qFormat/>
    <w:rsid w:val="005828E2"/>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basedOn w:val="DefaultParagraphFont"/>
    <w:uiPriority w:val="99"/>
    <w:unhideWhenUsed/>
    <w:rsid w:val="00AA6AFF"/>
    <w:rPr>
      <w:i/>
      <w:iCs/>
    </w:rPr>
  </w:style>
  <w:style w:type="paragraph" w:styleId="ListNumber4">
    <w:name w:val="List Number 4"/>
    <w:basedOn w:val="Normal"/>
    <w:qFormat/>
    <w:rsid w:val="00CE546C"/>
    <w:pPr>
      <w:tabs>
        <w:tab w:val="num" w:pos="720"/>
        <w:tab w:val="num" w:pos="1209"/>
      </w:tabs>
      <w:overflowPunct w:val="0"/>
      <w:autoSpaceDE w:val="0"/>
      <w:autoSpaceDN w:val="0"/>
      <w:adjustRightInd w:val="0"/>
      <w:spacing w:after="180" w:line="240" w:lineRule="auto"/>
      <w:ind w:left="1209" w:hanging="720"/>
      <w:textAlignment w:val="baseline"/>
    </w:pPr>
    <w:rPr>
      <w:rFonts w:ascii="Times New Roman" w:eastAsia="MS Mincho" w:hAnsi="Times New Roman" w:cs="Times New Roman"/>
      <w:sz w:val="20"/>
      <w:szCs w:val="20"/>
      <w:lang w:eastAsia="en-GB"/>
    </w:rPr>
  </w:style>
  <w:style w:type="paragraph" w:customStyle="1" w:styleId="CH">
    <w:name w:val="CH"/>
    <w:basedOn w:val="Normal"/>
    <w:qFormat/>
    <w:rsid w:val="005F54F6"/>
    <w:pPr>
      <w:tabs>
        <w:tab w:val="left" w:pos="2268"/>
        <w:tab w:val="right" w:pos="7920"/>
        <w:tab w:val="right" w:pos="9639"/>
      </w:tabs>
      <w:spacing w:after="0" w:line="240" w:lineRule="auto"/>
    </w:pPr>
    <w:rPr>
      <w:rFonts w:ascii="Arial" w:eastAsia="PMingLiU" w:hAnsi="Arial" w:cs="Arial"/>
      <w:b/>
      <w:sz w:val="24"/>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it+WolcYIIx9filM/B6JtQlOYg==">CgMxLjAyCGguZ2pkZ3hzMgloLjMwajB6bGwyCWguMWZvYjl0ZTgAciExT1lLRnUtM2tYYmVuZk5IcGhwZG1vM2VJT1FKTHRiQXI=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1153</Words>
  <Characters>6573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dominique.everaere@ericsson.com</dc:creator>
  <cp:lastModifiedBy>Tang, Yuqiang (Richard)</cp:lastModifiedBy>
  <cp:revision>3</cp:revision>
  <dcterms:created xsi:type="dcterms:W3CDTF">2025-02-06T15:25:00Z</dcterms:created>
  <dcterms:modified xsi:type="dcterms:W3CDTF">2025-02-06T15:47:00Z</dcterms:modified>
</cp:coreProperties>
</file>